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615" w:rsidRDefault="00A27615" w:rsidP="00A27615">
      <w:pPr>
        <w:jc w:val="center"/>
        <w:rPr>
          <w:rFonts w:eastAsia="黑体" w:hint="eastAsia"/>
          <w:sz w:val="36"/>
        </w:rPr>
      </w:pPr>
      <w:r>
        <w:rPr>
          <w:rFonts w:eastAsia="黑体" w:hint="eastAsia"/>
          <w:sz w:val="32"/>
        </w:rPr>
        <w:t>中国人民银行沈阳分行行政许可项目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89"/>
        <w:gridCol w:w="6633"/>
      </w:tblGrid>
      <w:tr w:rsidR="00A27615">
        <w:tblPrEx>
          <w:tblCellMar>
            <w:top w:w="0" w:type="dxa"/>
            <w:bottom w:w="0" w:type="dxa"/>
          </w:tblCellMar>
        </w:tblPrEx>
        <w:tc>
          <w:tcPr>
            <w:tcW w:w="1889" w:type="dxa"/>
            <w:vAlign w:val="center"/>
          </w:tcPr>
          <w:p w:rsidR="00A27615" w:rsidRDefault="00A27615" w:rsidP="00A27615">
            <w:pPr>
              <w:jc w:val="center"/>
              <w:rPr>
                <w:rFonts w:eastAsia="仿宋_GB2312" w:hint="eastAsia"/>
                <w:sz w:val="24"/>
              </w:rPr>
            </w:pPr>
            <w:r>
              <w:rPr>
                <w:rFonts w:eastAsia="仿宋_GB2312" w:hint="eastAsia"/>
                <w:sz w:val="24"/>
              </w:rPr>
              <w:t>编号</w:t>
            </w:r>
          </w:p>
        </w:tc>
        <w:tc>
          <w:tcPr>
            <w:tcW w:w="6633" w:type="dxa"/>
            <w:vAlign w:val="center"/>
          </w:tcPr>
          <w:p w:rsidR="00A27615" w:rsidRDefault="00A27615" w:rsidP="00A27615">
            <w:pPr>
              <w:jc w:val="center"/>
              <w:rPr>
                <w:rFonts w:ascii="宋体" w:hAnsi="宋体"/>
              </w:rPr>
            </w:pPr>
            <w:r>
              <w:rPr>
                <w:rFonts w:ascii="宋体" w:hAnsi="宋体" w:hint="eastAsia"/>
              </w:rPr>
              <w:t xml:space="preserve">　1</w:t>
            </w:r>
          </w:p>
        </w:tc>
      </w:tr>
      <w:tr w:rsidR="00A27615">
        <w:tblPrEx>
          <w:tblCellMar>
            <w:top w:w="0" w:type="dxa"/>
            <w:bottom w:w="0" w:type="dxa"/>
          </w:tblCellMar>
        </w:tblPrEx>
        <w:tc>
          <w:tcPr>
            <w:tcW w:w="1889" w:type="dxa"/>
            <w:vAlign w:val="center"/>
          </w:tcPr>
          <w:p w:rsidR="00A27615" w:rsidRDefault="00A27615" w:rsidP="00A27615">
            <w:pPr>
              <w:jc w:val="center"/>
              <w:rPr>
                <w:rFonts w:eastAsia="仿宋_GB2312" w:hint="eastAsia"/>
                <w:sz w:val="24"/>
              </w:rPr>
            </w:pPr>
            <w:r>
              <w:rPr>
                <w:rFonts w:eastAsia="仿宋_GB2312" w:hint="eastAsia"/>
                <w:sz w:val="24"/>
              </w:rPr>
              <w:t>行政许可名称</w:t>
            </w:r>
          </w:p>
        </w:tc>
        <w:tc>
          <w:tcPr>
            <w:tcW w:w="6633" w:type="dxa"/>
            <w:vAlign w:val="center"/>
          </w:tcPr>
          <w:p w:rsidR="00A27615" w:rsidRDefault="00A27615" w:rsidP="00003750">
            <w:pPr>
              <w:rPr>
                <w:rFonts w:ascii="宋体" w:hAnsi="宋体"/>
              </w:rPr>
            </w:pPr>
            <w:r>
              <w:rPr>
                <w:rFonts w:ascii="宋体" w:hAnsi="宋体" w:hint="eastAsia"/>
              </w:rPr>
              <w:t>商业银行、信用社代理国库业务审批</w:t>
            </w:r>
          </w:p>
        </w:tc>
      </w:tr>
      <w:tr w:rsidR="00A27615">
        <w:tblPrEx>
          <w:tblCellMar>
            <w:top w:w="0" w:type="dxa"/>
            <w:bottom w:w="0" w:type="dxa"/>
          </w:tblCellMar>
        </w:tblPrEx>
        <w:trPr>
          <w:trHeight w:val="803"/>
        </w:trPr>
        <w:tc>
          <w:tcPr>
            <w:tcW w:w="1889" w:type="dxa"/>
            <w:vAlign w:val="center"/>
          </w:tcPr>
          <w:p w:rsidR="00A27615" w:rsidRDefault="00A27615" w:rsidP="00A27615">
            <w:pPr>
              <w:jc w:val="center"/>
              <w:rPr>
                <w:rFonts w:eastAsia="仿宋_GB2312" w:hint="eastAsia"/>
                <w:sz w:val="24"/>
              </w:rPr>
            </w:pPr>
            <w:r>
              <w:rPr>
                <w:rFonts w:eastAsia="仿宋_GB2312" w:hint="eastAsia"/>
                <w:sz w:val="24"/>
              </w:rPr>
              <w:t>内容概述</w:t>
            </w:r>
          </w:p>
        </w:tc>
        <w:tc>
          <w:tcPr>
            <w:tcW w:w="6633" w:type="dxa"/>
            <w:vAlign w:val="center"/>
          </w:tcPr>
          <w:p w:rsidR="00A27615" w:rsidRDefault="00003750" w:rsidP="00003750">
            <w:pPr>
              <w:rPr>
                <w:rFonts w:ascii="宋体" w:hAnsi="宋体"/>
              </w:rPr>
            </w:pPr>
            <w:r>
              <w:rPr>
                <w:rFonts w:ascii="宋体" w:hAnsi="宋体" w:hint="eastAsia"/>
              </w:rPr>
              <w:t>商业银行、信用社代理国库业务</w:t>
            </w:r>
            <w:r>
              <w:rPr>
                <w:rFonts w:ascii="宋体" w:hAnsi="宋体"/>
              </w:rPr>
              <w:t xml:space="preserve"> </w:t>
            </w:r>
          </w:p>
        </w:tc>
      </w:tr>
      <w:tr w:rsidR="00A27615">
        <w:tblPrEx>
          <w:tblCellMar>
            <w:top w:w="0" w:type="dxa"/>
            <w:bottom w:w="0" w:type="dxa"/>
          </w:tblCellMar>
        </w:tblPrEx>
        <w:trPr>
          <w:trHeight w:val="1063"/>
        </w:trPr>
        <w:tc>
          <w:tcPr>
            <w:tcW w:w="1889" w:type="dxa"/>
            <w:vAlign w:val="center"/>
          </w:tcPr>
          <w:p w:rsidR="00A27615" w:rsidRDefault="00A27615" w:rsidP="00A27615">
            <w:pPr>
              <w:jc w:val="center"/>
              <w:rPr>
                <w:rFonts w:eastAsia="仿宋_GB2312" w:hint="eastAsia"/>
                <w:sz w:val="24"/>
              </w:rPr>
            </w:pPr>
            <w:r>
              <w:rPr>
                <w:rFonts w:eastAsia="仿宋_GB2312" w:hint="eastAsia"/>
                <w:sz w:val="24"/>
              </w:rPr>
              <w:t>法律依据</w:t>
            </w:r>
          </w:p>
        </w:tc>
        <w:tc>
          <w:tcPr>
            <w:tcW w:w="6633" w:type="dxa"/>
            <w:vAlign w:val="center"/>
          </w:tcPr>
          <w:p w:rsidR="00A27615" w:rsidRDefault="00A27615" w:rsidP="00003750">
            <w:pPr>
              <w:rPr>
                <w:rFonts w:ascii="宋体" w:hAnsi="宋体" w:hint="eastAsia"/>
              </w:rPr>
            </w:pPr>
            <w:r>
              <w:rPr>
                <w:rFonts w:ascii="宋体" w:hAnsi="宋体" w:hint="eastAsia"/>
              </w:rPr>
              <w:t>《中华人民共和国中国人民银行法》、《国家金库条例》、《</w:t>
            </w:r>
            <w:r>
              <w:rPr>
                <w:rFonts w:ascii="宋体" w:hAnsi="宋体"/>
              </w:rPr>
              <w:t>中国人民银行行政许可实施办法</w:t>
            </w:r>
            <w:r>
              <w:rPr>
                <w:rFonts w:ascii="宋体" w:hAnsi="宋体" w:hint="eastAsia"/>
              </w:rPr>
              <w:t>》。</w:t>
            </w:r>
          </w:p>
        </w:tc>
      </w:tr>
      <w:tr w:rsidR="00A27615">
        <w:tblPrEx>
          <w:tblCellMar>
            <w:top w:w="0" w:type="dxa"/>
            <w:bottom w:w="0" w:type="dxa"/>
          </w:tblCellMar>
        </w:tblPrEx>
        <w:trPr>
          <w:trHeight w:val="2228"/>
        </w:trPr>
        <w:tc>
          <w:tcPr>
            <w:tcW w:w="1889" w:type="dxa"/>
            <w:vAlign w:val="center"/>
          </w:tcPr>
          <w:p w:rsidR="00A27615" w:rsidRDefault="00A27615" w:rsidP="00A27615">
            <w:pPr>
              <w:jc w:val="center"/>
              <w:rPr>
                <w:rFonts w:eastAsia="仿宋_GB2312" w:hint="eastAsia"/>
                <w:sz w:val="24"/>
              </w:rPr>
            </w:pPr>
            <w:r>
              <w:rPr>
                <w:rFonts w:eastAsia="仿宋_GB2312" w:hint="eastAsia"/>
                <w:sz w:val="24"/>
              </w:rPr>
              <w:t>许可条件</w:t>
            </w:r>
          </w:p>
        </w:tc>
        <w:tc>
          <w:tcPr>
            <w:tcW w:w="6633" w:type="dxa"/>
          </w:tcPr>
          <w:p w:rsidR="00003750" w:rsidRDefault="00A27615" w:rsidP="00A27615">
            <w:pPr>
              <w:rPr>
                <w:rFonts w:hint="eastAsia"/>
              </w:rPr>
            </w:pPr>
            <w:r>
              <w:rPr>
                <w:rFonts w:hint="eastAsia"/>
              </w:rPr>
              <w:t>1</w:t>
            </w:r>
            <w:r>
              <w:rPr>
                <w:rFonts w:hint="eastAsia"/>
              </w:rPr>
              <w:t>、代理国库应具备条件：</w:t>
            </w:r>
          </w:p>
          <w:p w:rsidR="00003750" w:rsidRDefault="00A27615" w:rsidP="00003750">
            <w:pPr>
              <w:ind w:firstLineChars="100" w:firstLine="210"/>
              <w:rPr>
                <w:rFonts w:hint="eastAsia"/>
              </w:rPr>
            </w:pPr>
            <w:r>
              <w:rPr>
                <w:rFonts w:hint="eastAsia"/>
              </w:rPr>
              <w:t>（一）具有良好的信誉，较好的经营业绩，内控机制健全，资金结算渠道畅通，核算工具完备。</w:t>
            </w:r>
          </w:p>
          <w:p w:rsidR="00003750" w:rsidRDefault="00A27615" w:rsidP="00003750">
            <w:pPr>
              <w:ind w:firstLineChars="100" w:firstLine="210"/>
              <w:rPr>
                <w:rFonts w:hint="eastAsia"/>
              </w:rPr>
            </w:pPr>
            <w:r>
              <w:rPr>
                <w:rFonts w:hint="eastAsia"/>
              </w:rPr>
              <w:t>（二）承诺获准代理后建立相应的代理支库业务机构和配备具有上岗资格的业务人员。代理支库年业务量达到一定笔数以上或年预算收入达到一定金额以上的代理行，必须设立国库科（股），专门办理国库业务；未达到的，必须设立国库专柜办理支库业务。代理行应根据业务量大小和国库的相关管理规定，配备足够的人员。代理支库应当配备</w:t>
            </w:r>
            <w:r>
              <w:rPr>
                <w:rFonts w:hint="eastAsia"/>
              </w:rPr>
              <w:t>3</w:t>
            </w:r>
            <w:r>
              <w:rPr>
                <w:rFonts w:hint="eastAsia"/>
              </w:rPr>
              <w:t>名以上专职人员，兼职人员应当按业务需要和内控制度要求确定。</w:t>
            </w:r>
          </w:p>
          <w:p w:rsidR="00A27615" w:rsidRDefault="00A27615" w:rsidP="00003750">
            <w:pPr>
              <w:ind w:firstLineChars="100" w:firstLine="210"/>
              <w:rPr>
                <w:rFonts w:hint="eastAsia"/>
              </w:rPr>
            </w:pPr>
            <w:r>
              <w:rPr>
                <w:rFonts w:hint="eastAsia"/>
              </w:rPr>
              <w:t>（三）中国人民银行及其分支机构规定的其他条件。</w:t>
            </w:r>
          </w:p>
          <w:p w:rsidR="00003750" w:rsidRDefault="00A27615" w:rsidP="00003750">
            <w:pPr>
              <w:rPr>
                <w:rFonts w:hint="eastAsia"/>
              </w:rPr>
            </w:pPr>
            <w:r>
              <w:rPr>
                <w:rFonts w:hint="eastAsia"/>
              </w:rPr>
              <w:t>2</w:t>
            </w:r>
            <w:r>
              <w:rPr>
                <w:rFonts w:hint="eastAsia"/>
              </w:rPr>
              <w:t>、要提交的材料：</w:t>
            </w:r>
          </w:p>
          <w:p w:rsidR="00003750" w:rsidRDefault="00A27615" w:rsidP="00003750">
            <w:pPr>
              <w:ind w:firstLineChars="100" w:firstLine="210"/>
              <w:rPr>
                <w:rFonts w:hint="eastAsia"/>
              </w:rPr>
            </w:pPr>
            <w:r>
              <w:rPr>
                <w:rFonts w:hint="eastAsia"/>
              </w:rPr>
              <w:t>（一）申请材料目录；</w:t>
            </w:r>
          </w:p>
          <w:p w:rsidR="00003750" w:rsidRDefault="00A27615" w:rsidP="00003750">
            <w:pPr>
              <w:ind w:firstLineChars="100" w:firstLine="210"/>
              <w:rPr>
                <w:rFonts w:hint="eastAsia"/>
              </w:rPr>
            </w:pPr>
            <w:r>
              <w:rPr>
                <w:rFonts w:hint="eastAsia"/>
              </w:rPr>
              <w:t>（二）代理支库业务申请书；</w:t>
            </w:r>
          </w:p>
          <w:p w:rsidR="00003750" w:rsidRDefault="00A27615" w:rsidP="00003750">
            <w:pPr>
              <w:ind w:firstLineChars="100" w:firstLine="210"/>
              <w:rPr>
                <w:rFonts w:hint="eastAsia"/>
              </w:rPr>
            </w:pPr>
            <w:r>
              <w:rPr>
                <w:rFonts w:hint="eastAsia"/>
              </w:rPr>
              <w:t>（三）机构的基本情况、相关的内部管理制度和资金结算支持系统情况、上</w:t>
            </w:r>
            <w:proofErr w:type="gramStart"/>
            <w:r>
              <w:rPr>
                <w:rFonts w:hint="eastAsia"/>
              </w:rPr>
              <w:t>两</w:t>
            </w:r>
            <w:proofErr w:type="gramEnd"/>
            <w:r>
              <w:rPr>
                <w:rFonts w:hint="eastAsia"/>
              </w:rPr>
              <w:t>年度发生的资金案件情况等；</w:t>
            </w:r>
            <w:r>
              <w:rPr>
                <w:rFonts w:hint="eastAsia"/>
              </w:rPr>
              <w:t xml:space="preserve"> </w:t>
            </w:r>
          </w:p>
          <w:p w:rsidR="00003750" w:rsidRDefault="00A27615" w:rsidP="00003750">
            <w:pPr>
              <w:ind w:firstLineChars="100" w:firstLine="210"/>
              <w:rPr>
                <w:rFonts w:hint="eastAsia"/>
              </w:rPr>
            </w:pPr>
            <w:r>
              <w:rPr>
                <w:rFonts w:hint="eastAsia"/>
              </w:rPr>
              <w:t>（四）经营金融业务许可证复印件；</w:t>
            </w:r>
          </w:p>
          <w:p w:rsidR="00003750" w:rsidRDefault="00A27615" w:rsidP="00003750">
            <w:pPr>
              <w:ind w:firstLineChars="100" w:firstLine="210"/>
              <w:rPr>
                <w:rFonts w:hint="eastAsia"/>
              </w:rPr>
            </w:pPr>
            <w:r>
              <w:rPr>
                <w:rFonts w:hint="eastAsia"/>
              </w:rPr>
              <w:t>（五）申请机构有关人员情况简表；</w:t>
            </w:r>
          </w:p>
          <w:p w:rsidR="00003750" w:rsidRDefault="00A27615" w:rsidP="00003750">
            <w:pPr>
              <w:ind w:firstLineChars="100" w:firstLine="210"/>
              <w:rPr>
                <w:rFonts w:hint="eastAsia"/>
              </w:rPr>
            </w:pPr>
            <w:r>
              <w:rPr>
                <w:rFonts w:hint="eastAsia"/>
              </w:rPr>
              <w:t>（六）上</w:t>
            </w:r>
            <w:proofErr w:type="gramStart"/>
            <w:r>
              <w:rPr>
                <w:rFonts w:hint="eastAsia"/>
              </w:rPr>
              <w:t>两</w:t>
            </w:r>
            <w:proofErr w:type="gramEnd"/>
            <w:r>
              <w:rPr>
                <w:rFonts w:hint="eastAsia"/>
              </w:rPr>
              <w:t>年度的资产负债表和损益表复印件；</w:t>
            </w:r>
          </w:p>
          <w:p w:rsidR="00003750" w:rsidRDefault="00A27615" w:rsidP="00003750">
            <w:pPr>
              <w:ind w:firstLineChars="100" w:firstLine="210"/>
              <w:rPr>
                <w:rFonts w:hint="eastAsia"/>
              </w:rPr>
            </w:pPr>
            <w:r>
              <w:rPr>
                <w:rFonts w:hint="eastAsia"/>
              </w:rPr>
              <w:t>（七）中国人民银行及其分支机构要求提供的其他材料。</w:t>
            </w:r>
          </w:p>
          <w:p w:rsidR="00A27615" w:rsidRDefault="00A27615" w:rsidP="00003750">
            <w:r>
              <w:rPr>
                <w:rFonts w:hint="eastAsia"/>
              </w:rPr>
              <w:t xml:space="preserve">                                                               </w:t>
            </w:r>
          </w:p>
        </w:tc>
      </w:tr>
      <w:tr w:rsidR="00A27615">
        <w:tblPrEx>
          <w:tblCellMar>
            <w:top w:w="0" w:type="dxa"/>
            <w:bottom w:w="0" w:type="dxa"/>
          </w:tblCellMar>
        </w:tblPrEx>
        <w:trPr>
          <w:trHeight w:val="773"/>
        </w:trPr>
        <w:tc>
          <w:tcPr>
            <w:tcW w:w="1889" w:type="dxa"/>
            <w:vAlign w:val="center"/>
          </w:tcPr>
          <w:p w:rsidR="00A27615" w:rsidRDefault="00A27615" w:rsidP="00A27615">
            <w:pPr>
              <w:jc w:val="center"/>
              <w:rPr>
                <w:rFonts w:eastAsia="仿宋_GB2312" w:hint="eastAsia"/>
                <w:sz w:val="24"/>
              </w:rPr>
            </w:pPr>
            <w:r>
              <w:rPr>
                <w:rFonts w:eastAsia="仿宋_GB2312" w:hint="eastAsia"/>
                <w:sz w:val="24"/>
              </w:rPr>
              <w:t>办理流程</w:t>
            </w:r>
          </w:p>
        </w:tc>
        <w:tc>
          <w:tcPr>
            <w:tcW w:w="6633" w:type="dxa"/>
            <w:vAlign w:val="center"/>
          </w:tcPr>
          <w:p w:rsidR="00A27615" w:rsidRDefault="00A27615" w:rsidP="00CC1A18">
            <w:r>
              <w:rPr>
                <w:rFonts w:hint="eastAsia"/>
              </w:rPr>
              <w:t>二级审批制。</w:t>
            </w:r>
            <w:r w:rsidR="00003750">
              <w:t>代理支库</w:t>
            </w:r>
            <w:r w:rsidR="00003750">
              <w:rPr>
                <w:rFonts w:hint="eastAsia"/>
              </w:rPr>
              <w:t xml:space="preserve"> </w:t>
            </w:r>
            <w:r w:rsidR="00003750">
              <w:rPr>
                <w:rFonts w:hint="eastAsia"/>
              </w:rPr>
              <w:t>由</w:t>
            </w:r>
            <w:r w:rsidR="00003750">
              <w:rPr>
                <w:rFonts w:hint="eastAsia"/>
              </w:rPr>
              <w:t xml:space="preserve"> </w:t>
            </w:r>
            <w:r w:rsidR="00003750">
              <w:t>中心支</w:t>
            </w:r>
            <w:r w:rsidR="00003750">
              <w:rPr>
                <w:rFonts w:hint="eastAsia"/>
              </w:rPr>
              <w:t>行</w:t>
            </w:r>
            <w:r w:rsidR="00003750">
              <w:t>—</w:t>
            </w:r>
            <w:r w:rsidR="00003750">
              <w:rPr>
                <w:rFonts w:hint="eastAsia"/>
              </w:rPr>
              <w:t>沈阳分行</w:t>
            </w:r>
            <w:r w:rsidR="00003750">
              <w:rPr>
                <w:rFonts w:hint="eastAsia"/>
              </w:rPr>
              <w:t xml:space="preserve"> </w:t>
            </w:r>
            <w:r w:rsidR="00003750">
              <w:rPr>
                <w:rFonts w:hint="eastAsia"/>
              </w:rPr>
              <w:t>两级审批</w:t>
            </w:r>
          </w:p>
        </w:tc>
      </w:tr>
      <w:tr w:rsidR="00A27615">
        <w:tblPrEx>
          <w:tblCellMar>
            <w:top w:w="0" w:type="dxa"/>
            <w:bottom w:w="0" w:type="dxa"/>
          </w:tblCellMar>
        </w:tblPrEx>
        <w:tc>
          <w:tcPr>
            <w:tcW w:w="1889" w:type="dxa"/>
            <w:vAlign w:val="center"/>
          </w:tcPr>
          <w:p w:rsidR="00A27615" w:rsidRDefault="00A27615" w:rsidP="00A27615">
            <w:pPr>
              <w:jc w:val="center"/>
              <w:rPr>
                <w:rFonts w:eastAsia="仿宋_GB2312" w:hint="eastAsia"/>
                <w:sz w:val="24"/>
              </w:rPr>
            </w:pPr>
            <w:r>
              <w:rPr>
                <w:rFonts w:eastAsia="仿宋_GB2312" w:hint="eastAsia"/>
                <w:sz w:val="24"/>
              </w:rPr>
              <w:t>承办部门</w:t>
            </w:r>
          </w:p>
        </w:tc>
        <w:tc>
          <w:tcPr>
            <w:tcW w:w="6633" w:type="dxa"/>
            <w:vAlign w:val="center"/>
          </w:tcPr>
          <w:p w:rsidR="00A27615" w:rsidRDefault="00A27615" w:rsidP="00A27615">
            <w:pPr>
              <w:rPr>
                <w:rFonts w:ascii="宋体" w:hAnsi="宋体"/>
              </w:rPr>
            </w:pPr>
            <w:r>
              <w:rPr>
                <w:rFonts w:ascii="宋体" w:hAnsi="宋体" w:hint="eastAsia"/>
              </w:rPr>
              <w:t>中国人民银行沈阳分行国库处</w:t>
            </w:r>
          </w:p>
        </w:tc>
      </w:tr>
      <w:tr w:rsidR="00A27615">
        <w:tblPrEx>
          <w:tblCellMar>
            <w:top w:w="0" w:type="dxa"/>
            <w:bottom w:w="0" w:type="dxa"/>
          </w:tblCellMar>
        </w:tblPrEx>
        <w:tc>
          <w:tcPr>
            <w:tcW w:w="1889" w:type="dxa"/>
            <w:vAlign w:val="center"/>
          </w:tcPr>
          <w:p w:rsidR="00A27615" w:rsidRDefault="00A27615" w:rsidP="00A27615">
            <w:pPr>
              <w:jc w:val="center"/>
              <w:rPr>
                <w:rFonts w:eastAsia="仿宋_GB2312" w:hint="eastAsia"/>
                <w:sz w:val="24"/>
              </w:rPr>
            </w:pPr>
            <w:r>
              <w:rPr>
                <w:rFonts w:eastAsia="仿宋_GB2312" w:hint="eastAsia"/>
                <w:sz w:val="24"/>
              </w:rPr>
              <w:t>办理地点</w:t>
            </w:r>
          </w:p>
        </w:tc>
        <w:tc>
          <w:tcPr>
            <w:tcW w:w="6633" w:type="dxa"/>
            <w:vAlign w:val="center"/>
          </w:tcPr>
          <w:p w:rsidR="00A27615" w:rsidRDefault="00A27615" w:rsidP="00A27615">
            <w:pPr>
              <w:rPr>
                <w:rFonts w:ascii="宋体" w:hAnsi="宋体"/>
              </w:rPr>
            </w:pPr>
            <w:r>
              <w:rPr>
                <w:rFonts w:hint="eastAsia"/>
              </w:rPr>
              <w:t>中国人民银行沈阳分行</w:t>
            </w:r>
            <w:r>
              <w:rPr>
                <w:rFonts w:ascii="宋体" w:hAnsi="宋体" w:hint="eastAsia"/>
              </w:rPr>
              <w:t>904室</w:t>
            </w:r>
          </w:p>
        </w:tc>
      </w:tr>
      <w:tr w:rsidR="00A27615">
        <w:tblPrEx>
          <w:tblCellMar>
            <w:top w:w="0" w:type="dxa"/>
            <w:bottom w:w="0" w:type="dxa"/>
          </w:tblCellMar>
        </w:tblPrEx>
        <w:tc>
          <w:tcPr>
            <w:tcW w:w="1889" w:type="dxa"/>
            <w:vAlign w:val="center"/>
          </w:tcPr>
          <w:p w:rsidR="00A27615" w:rsidRDefault="00A27615" w:rsidP="00A27615">
            <w:pPr>
              <w:jc w:val="center"/>
              <w:rPr>
                <w:rFonts w:eastAsia="仿宋_GB2312" w:hint="eastAsia"/>
                <w:sz w:val="24"/>
              </w:rPr>
            </w:pPr>
            <w:r>
              <w:rPr>
                <w:rFonts w:eastAsia="仿宋_GB2312" w:hint="eastAsia"/>
                <w:sz w:val="24"/>
              </w:rPr>
              <w:t>承办人员</w:t>
            </w:r>
          </w:p>
        </w:tc>
        <w:tc>
          <w:tcPr>
            <w:tcW w:w="6633" w:type="dxa"/>
            <w:vAlign w:val="center"/>
          </w:tcPr>
          <w:p w:rsidR="004D5CE3" w:rsidRDefault="004D5CE3" w:rsidP="00A27615">
            <w:pPr>
              <w:rPr>
                <w:rFonts w:ascii="宋体" w:hAnsi="宋体"/>
              </w:rPr>
            </w:pPr>
            <w:r>
              <w:rPr>
                <w:rFonts w:ascii="宋体" w:hAnsi="宋体" w:hint="eastAsia"/>
              </w:rPr>
              <w:t xml:space="preserve">邓海燕  </w:t>
            </w:r>
          </w:p>
        </w:tc>
      </w:tr>
      <w:tr w:rsidR="00A27615">
        <w:tblPrEx>
          <w:tblCellMar>
            <w:top w:w="0" w:type="dxa"/>
            <w:bottom w:w="0" w:type="dxa"/>
          </w:tblCellMar>
        </w:tblPrEx>
        <w:tc>
          <w:tcPr>
            <w:tcW w:w="1889" w:type="dxa"/>
            <w:vAlign w:val="center"/>
          </w:tcPr>
          <w:p w:rsidR="00A27615" w:rsidRDefault="00A27615" w:rsidP="00A27615">
            <w:pPr>
              <w:jc w:val="center"/>
              <w:rPr>
                <w:rFonts w:eastAsia="仿宋_GB2312" w:hint="eastAsia"/>
                <w:sz w:val="24"/>
              </w:rPr>
            </w:pPr>
            <w:r>
              <w:rPr>
                <w:rFonts w:eastAsia="仿宋_GB2312" w:hint="eastAsia"/>
                <w:sz w:val="24"/>
              </w:rPr>
              <w:t>办理时限</w:t>
            </w:r>
          </w:p>
        </w:tc>
        <w:tc>
          <w:tcPr>
            <w:tcW w:w="6633" w:type="dxa"/>
            <w:vAlign w:val="bottom"/>
          </w:tcPr>
          <w:p w:rsidR="00A27615" w:rsidRDefault="00A27615" w:rsidP="00A27615">
            <w:pPr>
              <w:rPr>
                <w:rFonts w:ascii="宋体" w:hAnsi="宋体"/>
                <w:szCs w:val="22"/>
              </w:rPr>
            </w:pPr>
            <w:r>
              <w:rPr>
                <w:rFonts w:ascii="宋体" w:hAnsi="宋体" w:hint="eastAsia"/>
                <w:szCs w:val="22"/>
              </w:rPr>
              <w:t>审批</w:t>
            </w:r>
            <w:proofErr w:type="gramStart"/>
            <w:r>
              <w:rPr>
                <w:rFonts w:ascii="宋体" w:hAnsi="宋体" w:hint="eastAsia"/>
                <w:szCs w:val="22"/>
              </w:rPr>
              <w:t>行应当</w:t>
            </w:r>
            <w:proofErr w:type="gramEnd"/>
            <w:r>
              <w:rPr>
                <w:rFonts w:ascii="宋体" w:hAnsi="宋体" w:hint="eastAsia"/>
                <w:szCs w:val="22"/>
              </w:rPr>
              <w:t>自收到初审行报送的初步审查意见和申请材料之日起</w:t>
            </w:r>
            <w:r>
              <w:rPr>
                <w:rFonts w:ascii="宋体" w:hAnsi="宋体"/>
                <w:szCs w:val="22"/>
              </w:rPr>
              <w:t>10日内,或者</w:t>
            </w:r>
            <w:proofErr w:type="gramStart"/>
            <w:r>
              <w:rPr>
                <w:rFonts w:ascii="宋体" w:hAnsi="宋体"/>
                <w:szCs w:val="22"/>
              </w:rPr>
              <w:t>自直接</w:t>
            </w:r>
            <w:proofErr w:type="gramEnd"/>
            <w:r>
              <w:rPr>
                <w:rFonts w:ascii="宋体" w:hAnsi="宋体"/>
                <w:szCs w:val="22"/>
              </w:rPr>
              <w:t>受理申请材料之日起20日内</w:t>
            </w:r>
            <w:proofErr w:type="gramStart"/>
            <w:r>
              <w:rPr>
                <w:rFonts w:ascii="宋体" w:hAnsi="宋体"/>
                <w:szCs w:val="22"/>
              </w:rPr>
              <w:t>作出</w:t>
            </w:r>
            <w:proofErr w:type="gramEnd"/>
            <w:r>
              <w:rPr>
                <w:rFonts w:ascii="宋体" w:hAnsi="宋体"/>
                <w:szCs w:val="22"/>
              </w:rPr>
              <w:t>不予或准予行政许可决定。在规定期限内不能</w:t>
            </w:r>
            <w:proofErr w:type="gramStart"/>
            <w:r>
              <w:rPr>
                <w:rFonts w:ascii="宋体" w:hAnsi="宋体"/>
                <w:szCs w:val="22"/>
              </w:rPr>
              <w:t>作出</w:t>
            </w:r>
            <w:proofErr w:type="gramEnd"/>
            <w:r>
              <w:rPr>
                <w:rFonts w:ascii="宋体" w:hAnsi="宋体"/>
                <w:szCs w:val="22"/>
              </w:rPr>
              <w:t>审批决定的，经本分支行行长（主任）或者主管副行长（副主任）批准，可以延长10日。</w:t>
            </w:r>
          </w:p>
        </w:tc>
      </w:tr>
      <w:tr w:rsidR="00A27615">
        <w:tblPrEx>
          <w:tblCellMar>
            <w:top w:w="0" w:type="dxa"/>
            <w:bottom w:w="0" w:type="dxa"/>
          </w:tblCellMar>
        </w:tblPrEx>
        <w:tc>
          <w:tcPr>
            <w:tcW w:w="1889" w:type="dxa"/>
            <w:vAlign w:val="center"/>
          </w:tcPr>
          <w:p w:rsidR="00A27615" w:rsidRDefault="00A27615" w:rsidP="00A27615">
            <w:pPr>
              <w:jc w:val="center"/>
              <w:rPr>
                <w:rFonts w:eastAsia="仿宋_GB2312" w:hint="eastAsia"/>
                <w:sz w:val="24"/>
              </w:rPr>
            </w:pPr>
            <w:r>
              <w:rPr>
                <w:rFonts w:eastAsia="仿宋_GB2312" w:hint="eastAsia"/>
                <w:sz w:val="24"/>
              </w:rPr>
              <w:t>业务办理电话</w:t>
            </w:r>
          </w:p>
        </w:tc>
        <w:tc>
          <w:tcPr>
            <w:tcW w:w="6633" w:type="dxa"/>
            <w:vAlign w:val="center"/>
          </w:tcPr>
          <w:p w:rsidR="00A27615" w:rsidRDefault="00A27615" w:rsidP="00003750">
            <w:pPr>
              <w:rPr>
                <w:rFonts w:ascii="宋体" w:hAnsi="宋体"/>
              </w:rPr>
            </w:pPr>
            <w:r>
              <w:rPr>
                <w:rFonts w:ascii="宋体" w:hAnsi="宋体"/>
              </w:rPr>
              <w:t>024-23440</w:t>
            </w:r>
            <w:r w:rsidR="004D5CE3">
              <w:rPr>
                <w:rFonts w:ascii="宋体" w:hAnsi="宋体" w:hint="eastAsia"/>
              </w:rPr>
              <w:t xml:space="preserve">124    </w:t>
            </w:r>
          </w:p>
        </w:tc>
      </w:tr>
      <w:tr w:rsidR="00A27615">
        <w:tblPrEx>
          <w:tblCellMar>
            <w:top w:w="0" w:type="dxa"/>
            <w:bottom w:w="0" w:type="dxa"/>
          </w:tblCellMar>
        </w:tblPrEx>
        <w:trPr>
          <w:trHeight w:val="70"/>
        </w:trPr>
        <w:tc>
          <w:tcPr>
            <w:tcW w:w="1889" w:type="dxa"/>
            <w:vAlign w:val="center"/>
          </w:tcPr>
          <w:p w:rsidR="00A27615" w:rsidRDefault="00A27615" w:rsidP="00A27615">
            <w:pPr>
              <w:jc w:val="center"/>
              <w:rPr>
                <w:rFonts w:eastAsia="仿宋_GB2312" w:hint="eastAsia"/>
                <w:sz w:val="24"/>
              </w:rPr>
            </w:pPr>
            <w:r>
              <w:rPr>
                <w:rFonts w:eastAsia="仿宋_GB2312" w:hint="eastAsia"/>
                <w:sz w:val="24"/>
              </w:rPr>
              <w:t>举报监督电话</w:t>
            </w:r>
          </w:p>
        </w:tc>
        <w:tc>
          <w:tcPr>
            <w:tcW w:w="6633" w:type="dxa"/>
            <w:vAlign w:val="center"/>
          </w:tcPr>
          <w:p w:rsidR="00A27615" w:rsidRDefault="00A27615" w:rsidP="00003750">
            <w:pPr>
              <w:rPr>
                <w:rFonts w:ascii="宋体" w:hAnsi="宋体" w:hint="eastAsia"/>
              </w:rPr>
            </w:pPr>
            <w:r>
              <w:rPr>
                <w:rFonts w:ascii="宋体" w:hAnsi="宋体" w:hint="eastAsia"/>
              </w:rPr>
              <w:t>024-23440</w:t>
            </w:r>
            <w:r w:rsidR="00003750">
              <w:rPr>
                <w:rFonts w:ascii="宋体" w:hAnsi="宋体" w:hint="eastAsia"/>
              </w:rPr>
              <w:t>336</w:t>
            </w:r>
          </w:p>
        </w:tc>
      </w:tr>
    </w:tbl>
    <w:p w:rsidR="004D5CE3" w:rsidRDefault="004D5CE3" w:rsidP="004D5CE3">
      <w:pPr>
        <w:rPr>
          <w:rFonts w:hint="eastAsia"/>
        </w:rPr>
      </w:pPr>
    </w:p>
    <w:sectPr w:rsidR="004D5C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E6D" w:rsidRDefault="00CF2E6D" w:rsidP="004D5CE3">
      <w:r>
        <w:separator/>
      </w:r>
    </w:p>
  </w:endnote>
  <w:endnote w:type="continuationSeparator" w:id="0">
    <w:p w:rsidR="00CF2E6D" w:rsidRDefault="00CF2E6D" w:rsidP="004D5C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E6D" w:rsidRDefault="00CF2E6D" w:rsidP="004D5CE3">
      <w:r>
        <w:separator/>
      </w:r>
    </w:p>
  </w:footnote>
  <w:footnote w:type="continuationSeparator" w:id="0">
    <w:p w:rsidR="00CF2E6D" w:rsidRDefault="00CF2E6D" w:rsidP="004D5C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7615"/>
    <w:rsid w:val="00003750"/>
    <w:rsid w:val="00065551"/>
    <w:rsid w:val="004D5CE3"/>
    <w:rsid w:val="0069512D"/>
    <w:rsid w:val="0085569C"/>
    <w:rsid w:val="00A27615"/>
    <w:rsid w:val="00CB4254"/>
    <w:rsid w:val="00CC1A18"/>
    <w:rsid w:val="00CF2E6D"/>
    <w:rsid w:val="00D4562F"/>
    <w:rsid w:val="00FF25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761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rsid w:val="004D5C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D5CE3"/>
    <w:rPr>
      <w:kern w:val="2"/>
      <w:sz w:val="18"/>
      <w:szCs w:val="18"/>
    </w:rPr>
  </w:style>
  <w:style w:type="paragraph" w:styleId="a4">
    <w:name w:val="footer"/>
    <w:basedOn w:val="a"/>
    <w:link w:val="Char0"/>
    <w:rsid w:val="004D5CE3"/>
    <w:pPr>
      <w:tabs>
        <w:tab w:val="center" w:pos="4153"/>
        <w:tab w:val="right" w:pos="8306"/>
      </w:tabs>
      <w:snapToGrid w:val="0"/>
      <w:jc w:val="left"/>
    </w:pPr>
    <w:rPr>
      <w:sz w:val="18"/>
      <w:szCs w:val="18"/>
    </w:rPr>
  </w:style>
  <w:style w:type="character" w:customStyle="1" w:styleId="Char0">
    <w:name w:val="页脚 Char"/>
    <w:basedOn w:val="a0"/>
    <w:link w:val="a4"/>
    <w:rsid w:val="004D5CE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130</Words>
  <Characters>745</Characters>
  <Application>Microsoft Office Word</Application>
  <DocSecurity>0</DocSecurity>
  <Lines>6</Lines>
  <Paragraphs>1</Paragraphs>
  <ScaleCrop>false</ScaleCrop>
  <Company>www.ftpdown.com</Company>
  <LinksUpToDate>false</LinksUpToDate>
  <CharactersWithSpaces>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中国人民银行沈阳分行行政许可项目</dc:title>
  <dc:subject/>
  <dc:creator>王占军</dc:creator>
  <cp:keywords/>
  <cp:lastModifiedBy>李玉凤</cp:lastModifiedBy>
  <cp:revision>3</cp:revision>
  <cp:lastPrinted>2016-08-05T01:28:00Z</cp:lastPrinted>
  <dcterms:created xsi:type="dcterms:W3CDTF">2016-08-05T01:28:00Z</dcterms:created>
  <dcterms:modified xsi:type="dcterms:W3CDTF">2016-08-05T01:36:00Z</dcterms:modified>
</cp:coreProperties>
</file>