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color w:val="000000"/>
          <w:sz w:val="44"/>
        </w:rPr>
      </w:pPr>
      <w:r>
        <w:rPr>
          <w:rFonts w:hint="eastAsia" w:ascii="方正小标宋简体" w:eastAsia="方正小标宋简体"/>
          <w:color w:val="000000"/>
          <w:sz w:val="44"/>
        </w:rPr>
        <w:t>关于规范国库经收业务的通知</w:t>
      </w:r>
    </w:p>
    <w:p>
      <w:pPr>
        <w:spacing w:line="520" w:lineRule="exact"/>
        <w:jc w:val="center"/>
        <w:rPr>
          <w:rFonts w:ascii="仿宋_GB2312" w:eastAsia="仿宋_GB2312"/>
          <w:color w:val="000000"/>
          <w:sz w:val="32"/>
        </w:rPr>
      </w:pPr>
    </w:p>
    <w:p>
      <w:pPr>
        <w:spacing w:line="520" w:lineRule="exact"/>
        <w:rPr>
          <w:rFonts w:hint="eastAsia" w:ascii="仿宋_GB2312" w:eastAsia="仿宋_GB2312"/>
          <w:color w:val="000000"/>
          <w:sz w:val="32"/>
          <w:szCs w:val="32"/>
        </w:rPr>
      </w:pPr>
      <w:bookmarkStart w:id="0" w:name="TSendTo"/>
      <w:bookmarkEnd w:id="0"/>
      <w:r>
        <w:rPr>
          <w:rFonts w:hint="eastAsia" w:ascii="仿宋_GB2312" w:eastAsia="仿宋_GB2312"/>
          <w:color w:val="000000"/>
          <w:sz w:val="32"/>
          <w:szCs w:val="32"/>
        </w:rPr>
        <w:t>国家开发银行辽宁省分行、中国农业发展银行辽宁省分行营业部，各国有商业银行辽宁省分行营业部、中国建设银行辽宁省分行、中国银行沈阳分行、交通银行辽宁省分行、各股份制商业银行沈阳分行，盛京银行，各城市商业银行沈阳分行，沈阳市农村信用合作社联合社、沈阳沈北富民村镇银行、沈阳农村商业银行，中国邮政储蓄银行沈阳市分行，各外资银行沈阳分行：</w:t>
      </w:r>
    </w:p>
    <w:p>
      <w:pPr>
        <w:spacing w:line="520" w:lineRule="exact"/>
        <w:ind w:firstLine="600"/>
        <w:rPr>
          <w:rFonts w:ascii="仿宋_GB2312" w:eastAsia="仿宋_GB2312"/>
          <w:sz w:val="32"/>
          <w:szCs w:val="32"/>
        </w:rPr>
      </w:pPr>
      <w:bookmarkStart w:id="1" w:name="zw"/>
      <w:bookmarkEnd w:id="1"/>
      <w:r>
        <w:rPr>
          <w:rFonts w:hint="eastAsia" w:ascii="仿宋_GB2312" w:eastAsia="仿宋_GB2312"/>
          <w:sz w:val="32"/>
          <w:szCs w:val="32"/>
        </w:rPr>
        <w:t>为进一步加强对商业银行、信用社办理国库经收业务的监督管理，规范国库经收业务，促进各国库经收处严格执行国库经收相关法规制度，确保预算资金及时准确入库，现就有关要求通知如下，请认真学习，并遵照执行。</w:t>
      </w:r>
    </w:p>
    <w:p>
      <w:pPr>
        <w:spacing w:line="520" w:lineRule="exact"/>
        <w:ind w:firstLine="640" w:firstLineChars="200"/>
        <w:rPr>
          <w:rFonts w:hint="eastAsia" w:ascii="黑体" w:eastAsia="黑体"/>
          <w:sz w:val="32"/>
          <w:szCs w:val="32"/>
        </w:rPr>
      </w:pPr>
      <w:r>
        <w:rPr>
          <w:rFonts w:hint="eastAsia" w:ascii="黑体" w:eastAsia="黑体"/>
          <w:sz w:val="32"/>
          <w:szCs w:val="32"/>
        </w:rPr>
        <w:t>一、加强对国库经办人员的法律、法规、制度及业务的培训</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国库经收处应组织经办人员认真学习《中华人民共和国国家金库条例》及其实施细则、《商业银行、信用社代理国库业务管理办法》、《国库监督管理基本规定》、《辽宁省银行业金融机构代理国库业务综合考评办法(试行)》等有关规定，提高经办人员的法制观念和业务水平，使其能够正确处理国库经收业务，认真履行国库经收职责。</w:t>
      </w:r>
    </w:p>
    <w:p>
      <w:pPr>
        <w:spacing w:line="520" w:lineRule="exact"/>
        <w:ind w:firstLine="640" w:firstLineChars="200"/>
        <w:rPr>
          <w:rFonts w:hint="eastAsia" w:ascii="黑体" w:eastAsia="黑体"/>
          <w:sz w:val="32"/>
          <w:szCs w:val="32"/>
        </w:rPr>
      </w:pPr>
      <w:r>
        <w:rPr>
          <w:rFonts w:hint="eastAsia" w:ascii="黑体" w:eastAsia="黑体"/>
          <w:sz w:val="32"/>
          <w:szCs w:val="32"/>
        </w:rPr>
        <w:t>二、正确设置和使用“待结算财政款项”科目和有关专户</w:t>
      </w:r>
    </w:p>
    <w:p>
      <w:pPr>
        <w:spacing w:line="520"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凡代理国库业务和办理国库经收业务的商业银行、信用社均应设立“待结算财政款项”一级科目。国库经收处收纳的预算收入，一律使用“待结算财政款项”科目下的“待报解预算收入”专户进行核算，如可按经收业务种类在“待结算财政款项”科目下设“待报解预算收入(柜面)”和“待报解预算收入(电子)”等专户，不得转入其他科目。</w:t>
      </w:r>
    </w:p>
    <w:p>
      <w:pPr>
        <w:spacing w:line="520" w:lineRule="exact"/>
        <w:ind w:firstLine="640" w:firstLineChars="200"/>
        <w:rPr>
          <w:rFonts w:hint="eastAsia" w:ascii="黑体" w:eastAsia="黑体"/>
          <w:sz w:val="32"/>
          <w:szCs w:val="32"/>
        </w:rPr>
      </w:pPr>
      <w:r>
        <w:rPr>
          <w:rFonts w:hint="eastAsia" w:ascii="黑体" w:eastAsia="黑体"/>
          <w:sz w:val="32"/>
          <w:szCs w:val="32"/>
        </w:rPr>
        <w:t>三、准确、及时办理各类预算收入的报解入库</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（一）国库经收处应准确、及时办理预算收入收纳、报解业务，按规定对所受理缴款书的各项要素进行严格审核，确保各类凭证合法、合规、要素完整。凭证各联次上加盖的收（转）讫业务印章的日期必须相同。</w:t>
      </w:r>
    </w:p>
    <w:p>
      <w:pPr>
        <w:spacing w:line="520" w:lineRule="exact"/>
        <w:ind w:firstLine="640" w:firstLineChars="200"/>
        <w:rPr>
          <w:rFonts w:hint="eastAsia" w:ascii="黑体" w:eastAsia="黑体"/>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国库经收处收纳的预算收入，应在收纳当日办理报解入库手续，不得延解、占压和挪用；如当日确实不能报解的，必须在下一个工作日报解，同时要在登记簿上注明原因备查。</w:t>
      </w:r>
      <w:r>
        <w:rPr>
          <w:rFonts w:hint="eastAsia" w:ascii="仿宋_GB2312" w:hAnsi="宋体" w:eastAsia="仿宋_GB2312" w:cs="宋体"/>
          <w:kern w:val="0"/>
          <w:sz w:val="32"/>
          <w:szCs w:val="32"/>
        </w:rPr>
        <w:br w:type="textWrapping"/>
      </w:r>
      <w:r>
        <w:rPr>
          <w:rFonts w:hint="eastAsia" w:ascii="黑体" w:eastAsia="黑体"/>
          <w:sz w:val="32"/>
          <w:szCs w:val="32"/>
        </w:rPr>
        <w:t xml:space="preserve">    四、不得违规为财政、税务等征收机关开立“预算收入过渡账户”，已经开立的必须立即按规定撤销</w:t>
      </w:r>
    </w:p>
    <w:p>
      <w:pPr>
        <w:spacing w:line="520" w:lineRule="exact"/>
        <w:ind w:firstLine="640" w:firstLineChars="200"/>
        <w:rPr>
          <w:rFonts w:hint="eastAsia" w:ascii="黑体" w:eastAsia="黑体"/>
          <w:sz w:val="32"/>
          <w:szCs w:val="32"/>
        </w:rPr>
      </w:pPr>
      <w:r>
        <w:rPr>
          <w:rFonts w:hint="eastAsia" w:ascii="黑体" w:eastAsia="黑体"/>
          <w:sz w:val="32"/>
          <w:szCs w:val="32"/>
        </w:rPr>
        <w:t>五、不得拒收纳税人缴纳现金税款</w:t>
      </w:r>
    </w:p>
    <w:p>
      <w:pPr>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纳税人缴纳小额税款，凡在商业银行开有存款账户的，应直接通过银行办理转账缴税；未开立存款账户、用现金缴税的，各商业银行不得以任何理由拒收。沈阳市中心支库将在全市范围内加大对现金无障碍缴税的宣传、考核和处罚力度，特此要求各机构不得以任何理由拒收现金税款。辖内代理支库接受现金缴税业务时，要通过询问纳税人是否在其他商业银行办理过缴税业务遭到拒绝的情况，核实上报国库经收处是否存在拒收现金缴税的情况，一经查实，严厉处罚。</w:t>
      </w:r>
    </w:p>
    <w:p>
      <w:pPr>
        <w:spacing w:line="520" w:lineRule="exact"/>
        <w:ind w:firstLine="640" w:firstLineChars="200"/>
        <w:rPr>
          <w:rFonts w:hint="eastAsia" w:ascii="黑体" w:eastAsia="黑体"/>
          <w:sz w:val="32"/>
          <w:szCs w:val="32"/>
        </w:rPr>
      </w:pPr>
      <w:r>
        <w:rPr>
          <w:rFonts w:hint="eastAsia" w:ascii="黑体" w:eastAsia="黑体"/>
          <w:sz w:val="32"/>
          <w:szCs w:val="32"/>
        </w:rPr>
        <w:t>六、上报半年度国库经收自查报告</w:t>
      </w:r>
    </w:p>
    <w:p>
      <w:pPr>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行要高度重视国库经收业务，定期开展国库经收业务自查，形成自查报告(行发文)并按半年度上报沈阳市中心支库。上半年上报日期不超过当年6月10日；下半年上报日期不超过次年1月15日。自查报告内容除应涵盖对上述五项要求的自查总结，还应对本行所辖经收处(网点)分布变动情况表进行上报(仅报电子版光盘即可)。本年度4月20日前上报此表，以后每半年随自查报告一同上报(表中内容任何一项发生变化都应重新上报，无变化不用上报)。</w:t>
      </w:r>
    </w:p>
    <w:p>
      <w:pPr>
        <w:spacing w:line="520"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以上要求列入</w:t>
      </w:r>
      <w:r>
        <w:rPr>
          <w:rFonts w:hint="eastAsia" w:ascii="仿宋_GB2312" w:eastAsia="仿宋_GB2312"/>
          <w:sz w:val="32"/>
          <w:szCs w:val="32"/>
        </w:rPr>
        <w:t>《辽宁省银行业金融机构代理国库业务综合考评办法(试行)》考核，请各商业银行认真落实。</w:t>
      </w:r>
    </w:p>
    <w:p>
      <w:pPr>
        <w:spacing w:line="52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附件：</w:t>
      </w:r>
      <w:r>
        <w:rPr>
          <w:rFonts w:hint="eastAsia" w:ascii="仿宋_GB2312" w:hAnsi="宋体" w:eastAsia="仿宋_GB2312" w:cs="宋体"/>
          <w:kern w:val="0"/>
          <w:sz w:val="32"/>
          <w:szCs w:val="32"/>
        </w:rPr>
        <w:t>经收处(网点)分布变动情况表</w:t>
      </w:r>
    </w:p>
    <w:p>
      <w:pPr>
        <w:spacing w:line="240" w:lineRule="exact"/>
        <w:ind w:firstLine="640"/>
        <w:jc w:val="right"/>
        <w:rPr>
          <w:rFonts w:hint="eastAsia" w:ascii="仿宋_GB2312" w:hAnsi="宋体" w:eastAsia="仿宋_GB2312" w:cs="宋体"/>
          <w:kern w:val="0"/>
          <w:sz w:val="32"/>
          <w:szCs w:val="32"/>
        </w:rPr>
      </w:pPr>
    </w:p>
    <w:p>
      <w:pPr>
        <w:jc w:val="center"/>
        <w:outlineLvl w:val="0"/>
        <w:rPr>
          <w:rFonts w:hint="eastAsia" w:ascii="仿宋_GB2312" w:eastAsia="仿宋_GB2312"/>
          <w:sz w:val="30"/>
          <w:szCs w:val="30"/>
        </w:rPr>
      </w:pPr>
      <w:r>
        <w:rPr>
          <w:rFonts w:hint="eastAsia" w:ascii="仿宋_GB2312" w:eastAsia="仿宋_GB2312"/>
          <w:sz w:val="30"/>
          <w:szCs w:val="30"/>
        </w:rPr>
        <w:t xml:space="preserve">                       </w:t>
      </w:r>
    </w:p>
    <w:p>
      <w:pPr>
        <w:jc w:val="center"/>
        <w:outlineLvl w:val="0"/>
        <w:rPr>
          <w:rFonts w:hint="eastAsia" w:ascii="仿宋_GB2312" w:eastAsia="仿宋_GB2312"/>
          <w:sz w:val="30"/>
          <w:szCs w:val="30"/>
        </w:rPr>
      </w:pPr>
    </w:p>
    <w:p>
      <w:pPr>
        <w:jc w:val="right"/>
        <w:outlineLvl w:val="0"/>
        <w:rPr>
          <w:rFonts w:hint="eastAsia" w:ascii="仿宋_GB2312" w:eastAsia="仿宋_GB2312"/>
          <w:sz w:val="30"/>
          <w:szCs w:val="30"/>
          <w:lang w:val="en-US" w:eastAsia="zh-CN"/>
        </w:rPr>
      </w:pPr>
      <w:r>
        <w:rPr>
          <w:rFonts w:hint="eastAsia" w:ascii="仿宋_GB2312" w:eastAsia="仿宋_GB2312"/>
          <w:sz w:val="30"/>
          <w:szCs w:val="30"/>
          <w:lang w:val="en-US" w:eastAsia="zh-CN"/>
        </w:rPr>
        <w:t>中国人民银行沈阳分行营业管理部</w:t>
      </w:r>
    </w:p>
    <w:p>
      <w:pPr>
        <w:jc w:val="center"/>
        <w:outlineLvl w:val="0"/>
        <w:rPr>
          <w:rFonts w:ascii="仿宋_GB2312" w:eastAsia="仿宋_GB2312"/>
          <w:color w:val="000000"/>
          <w:sz w:val="32"/>
        </w:rPr>
      </w:pP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bookmarkStart w:id="2" w:name="TAttachment"/>
      <w:bookmarkEnd w:id="2"/>
      <w:bookmarkStart w:id="3" w:name="TCSignYear"/>
      <w:bookmarkEnd w:id="3"/>
      <w:r>
        <w:rPr>
          <w:rFonts w:hint="eastAsia" w:ascii="仿宋_GB2312" w:eastAsia="仿宋_GB2312"/>
          <w:color w:val="000000"/>
          <w:sz w:val="32"/>
        </w:rPr>
        <w:t>二○一二年</w:t>
      </w:r>
      <w:bookmarkStart w:id="4" w:name="TCSignMonth"/>
      <w:bookmarkEnd w:id="4"/>
      <w:r>
        <w:rPr>
          <w:rFonts w:hint="eastAsia" w:ascii="仿宋_GB2312" w:eastAsia="仿宋_GB2312"/>
          <w:color w:val="000000"/>
          <w:sz w:val="32"/>
        </w:rPr>
        <w:t>三月</w:t>
      </w:r>
      <w:bookmarkStart w:id="5" w:name="TCSignDay"/>
      <w:bookmarkEnd w:id="5"/>
      <w:r>
        <w:rPr>
          <w:rFonts w:hint="eastAsia" w:ascii="仿宋_GB2312" w:eastAsia="仿宋_GB2312"/>
          <w:color w:val="000000"/>
          <w:sz w:val="32"/>
        </w:rPr>
        <w:t>二十三日</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wMTdmYmRiMTVlOWUyNTIwMTY3OTg2M2Q5NGIxNGYifQ=="/>
  </w:docVars>
  <w:rsids>
    <w:rsidRoot w:val="00A2363F"/>
    <w:rsid w:val="009A2642"/>
    <w:rsid w:val="00A2363F"/>
    <w:rsid w:val="3433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213</Words>
  <Characters>1217</Characters>
  <Lines>10</Lines>
  <Paragraphs>2</Paragraphs>
  <TotalTime>1</TotalTime>
  <ScaleCrop>false</ScaleCrop>
  <LinksUpToDate>false</LinksUpToDate>
  <CharactersWithSpaces>1428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2021-08-09T07:48:00Z</dcterms:created>
  <dc:creator>周佳宝</dc:creator>
  <cp:lastModifiedBy>cyj</cp:lastModifiedBy>
  <dcterms:modified xsi:type="dcterms:W3CDTF">2023-08-03T06:46:36Z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D116504AC07847D98A2E03977999A3C8_12</vt:lpwstr>
  </property>
</Properties>
</file>